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ED" w:rsidRPr="0002059C" w:rsidRDefault="006E0462">
      <w:pPr>
        <w:pStyle w:val="ConsPlusTitle0"/>
        <w:jc w:val="center"/>
        <w:outlineLvl w:val="0"/>
      </w:pPr>
      <w:r w:rsidRPr="0002059C">
        <w:t>АДМИНИСТРАЦИЯ СМОЛЕНСКОЙ ОБЛАСТИ</w:t>
      </w:r>
    </w:p>
    <w:p w:rsidR="006F67ED" w:rsidRPr="0002059C" w:rsidRDefault="006F67ED">
      <w:pPr>
        <w:pStyle w:val="ConsPlusTitle0"/>
        <w:jc w:val="center"/>
      </w:pPr>
    </w:p>
    <w:p w:rsidR="006F67ED" w:rsidRPr="0002059C" w:rsidRDefault="006E0462">
      <w:pPr>
        <w:pStyle w:val="ConsPlusTitle0"/>
        <w:jc w:val="center"/>
      </w:pPr>
      <w:r w:rsidRPr="0002059C">
        <w:t>ПОСТАНОВЛЕНИЕ</w:t>
      </w:r>
    </w:p>
    <w:p w:rsidR="006F67ED" w:rsidRPr="0002059C" w:rsidRDefault="006E0462">
      <w:pPr>
        <w:pStyle w:val="ConsPlusTitle0"/>
        <w:jc w:val="center"/>
      </w:pPr>
      <w:r w:rsidRPr="0002059C">
        <w:t>от 19 ноября 2013 г. N 920</w:t>
      </w:r>
    </w:p>
    <w:p w:rsidR="006F67ED" w:rsidRPr="0002059C" w:rsidRDefault="006F67ED">
      <w:pPr>
        <w:pStyle w:val="ConsPlusTitle0"/>
        <w:jc w:val="center"/>
      </w:pPr>
    </w:p>
    <w:p w:rsidR="006F67ED" w:rsidRPr="0002059C" w:rsidRDefault="006E0462">
      <w:pPr>
        <w:pStyle w:val="ConsPlusTitle0"/>
        <w:jc w:val="center"/>
      </w:pPr>
      <w:r w:rsidRPr="0002059C">
        <w:t>ОБ УТВЕРЖДЕНИИ ОБЛАСТНОЙ ГОСУДАРСТВЕННОЙ ПРОГРАММЫ "СОЗДАНИЕ</w:t>
      </w:r>
    </w:p>
    <w:p w:rsidR="006F67ED" w:rsidRPr="0002059C" w:rsidRDefault="006E0462">
      <w:pPr>
        <w:pStyle w:val="ConsPlusTitle0"/>
        <w:jc w:val="center"/>
      </w:pPr>
      <w:r w:rsidRPr="0002059C">
        <w:t>УСЛОВИЙ ДЛЯ ЭФФЕКТИВНОГО ГОСУДАРСТВЕННОГО УПРАВЛЕНИЯ</w:t>
      </w:r>
    </w:p>
    <w:p w:rsidR="006F67ED" w:rsidRPr="0002059C" w:rsidRDefault="006E0462">
      <w:pPr>
        <w:pStyle w:val="ConsPlusTitle0"/>
        <w:jc w:val="center"/>
      </w:pPr>
      <w:r w:rsidRPr="0002059C">
        <w:t>В СМОЛЕНСКОЙ ОБЛАСТИ"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ind w:firstLine="540"/>
        <w:jc w:val="both"/>
      </w:pPr>
      <w:r w:rsidRPr="0002059C">
        <w:t xml:space="preserve">В соответствии с </w:t>
      </w:r>
      <w:r w:rsidRPr="0002059C">
        <w:t>постановлением</w:t>
      </w:r>
      <w:r w:rsidRPr="0002059C">
        <w:t xml:space="preserve"> Администрации Смоленской области от 19.01.2022 N 5 "Об утверждении Порядка принятия решения о разработке областных государственных программ, их формирования и реализации" Администрация </w:t>
      </w:r>
      <w:r w:rsidRPr="0002059C">
        <w:t>Смоленской области постановляет:</w:t>
      </w:r>
    </w:p>
    <w:p w:rsidR="006F67ED" w:rsidRPr="0002059C" w:rsidRDefault="006E0462">
      <w:pPr>
        <w:pStyle w:val="ConsPlusNormal0"/>
        <w:jc w:val="both"/>
      </w:pPr>
      <w:r w:rsidRPr="0002059C">
        <w:t xml:space="preserve">(в ред. постановлений Администрации Смоленской области от 10.03.2015 </w:t>
      </w:r>
      <w:r w:rsidRPr="0002059C">
        <w:t>N 99</w:t>
      </w:r>
      <w:r w:rsidRPr="0002059C">
        <w:t xml:space="preserve">, от 25.11.2015 </w:t>
      </w:r>
      <w:r w:rsidRPr="0002059C">
        <w:t>N 749</w:t>
      </w:r>
      <w:r w:rsidRPr="0002059C">
        <w:t xml:space="preserve">, от 29.06.2017 </w:t>
      </w:r>
      <w:r w:rsidRPr="0002059C">
        <w:t>N 425</w:t>
      </w:r>
      <w:r w:rsidRPr="0002059C">
        <w:t xml:space="preserve">, от 21.12.2017 </w:t>
      </w:r>
      <w:r w:rsidRPr="0002059C">
        <w:t>N 885</w:t>
      </w:r>
      <w:r w:rsidRPr="0002059C">
        <w:t>, от</w:t>
      </w:r>
      <w:r w:rsidRPr="0002059C">
        <w:t xml:space="preserve"> 26.06.2018 </w:t>
      </w:r>
      <w:r w:rsidRPr="0002059C">
        <w:t>N 424</w:t>
      </w:r>
      <w:r w:rsidRPr="0002059C">
        <w:t xml:space="preserve">, от 30.03.2022 </w:t>
      </w:r>
      <w:r w:rsidRPr="0002059C">
        <w:t>N 184</w:t>
      </w:r>
      <w:r w:rsidRPr="0002059C">
        <w:t>)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 xml:space="preserve">Утвердить прилагаемую областную государственную </w:t>
      </w:r>
      <w:r w:rsidRPr="0002059C">
        <w:t>программу</w:t>
      </w:r>
      <w:r w:rsidRPr="0002059C">
        <w:t xml:space="preserve"> "Создание условий для эффективного государственн</w:t>
      </w:r>
      <w:r w:rsidRPr="0002059C">
        <w:t>ого управления в Смоленской области" (далее также - Государственная программа).</w:t>
      </w:r>
    </w:p>
    <w:p w:rsidR="006F67ED" w:rsidRPr="0002059C" w:rsidRDefault="006E0462">
      <w:pPr>
        <w:pStyle w:val="ConsPlusNormal0"/>
        <w:jc w:val="both"/>
      </w:pPr>
      <w:r w:rsidRPr="0002059C">
        <w:t xml:space="preserve">(в ред. постановлений Администрации Смоленской области от 10.03.2015 </w:t>
      </w:r>
      <w:r w:rsidRPr="0002059C">
        <w:t>N 99</w:t>
      </w:r>
      <w:r w:rsidRPr="0002059C">
        <w:t xml:space="preserve">, от 10.10.2018 </w:t>
      </w:r>
      <w:r w:rsidRPr="0002059C">
        <w:t>N 645</w:t>
      </w:r>
      <w:r w:rsidRPr="0002059C">
        <w:t>)</w:t>
      </w:r>
    </w:p>
    <w:p w:rsidR="006F67ED" w:rsidRPr="0002059C" w:rsidRDefault="006F67ED">
      <w:pPr>
        <w:pStyle w:val="ConsPlusNormal0"/>
        <w:jc w:val="both"/>
      </w:pPr>
      <w:bookmarkStart w:id="0" w:name="_GoBack"/>
      <w:bookmarkEnd w:id="0"/>
    </w:p>
    <w:p w:rsidR="006F67ED" w:rsidRPr="0002059C" w:rsidRDefault="006E0462">
      <w:pPr>
        <w:pStyle w:val="ConsPlusNormal0"/>
        <w:jc w:val="right"/>
      </w:pPr>
      <w:r w:rsidRPr="0002059C">
        <w:t>Губернатор</w:t>
      </w:r>
    </w:p>
    <w:p w:rsidR="006F67ED" w:rsidRPr="0002059C" w:rsidRDefault="006E0462">
      <w:pPr>
        <w:pStyle w:val="ConsPlusNormal0"/>
        <w:jc w:val="right"/>
      </w:pPr>
      <w:r w:rsidRPr="0002059C">
        <w:t>Смоленской области</w:t>
      </w:r>
    </w:p>
    <w:p w:rsidR="006F67ED" w:rsidRPr="0002059C" w:rsidRDefault="006E0462">
      <w:pPr>
        <w:pStyle w:val="ConsPlusNormal0"/>
        <w:jc w:val="right"/>
      </w:pPr>
      <w:r w:rsidRPr="0002059C">
        <w:t>А.В.ОСТРОВСКИЙ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jc w:val="right"/>
        <w:outlineLvl w:val="0"/>
      </w:pPr>
      <w:r w:rsidRPr="0002059C">
        <w:t>Утверждена</w:t>
      </w:r>
    </w:p>
    <w:p w:rsidR="006F67ED" w:rsidRPr="0002059C" w:rsidRDefault="006E0462">
      <w:pPr>
        <w:pStyle w:val="ConsPlusNormal0"/>
        <w:jc w:val="right"/>
      </w:pPr>
      <w:r w:rsidRPr="0002059C">
        <w:t>постановлением</w:t>
      </w:r>
    </w:p>
    <w:p w:rsidR="006F67ED" w:rsidRPr="0002059C" w:rsidRDefault="006E0462">
      <w:pPr>
        <w:pStyle w:val="ConsPlusNormal0"/>
        <w:jc w:val="right"/>
      </w:pPr>
      <w:r w:rsidRPr="0002059C">
        <w:t>Администрации</w:t>
      </w:r>
    </w:p>
    <w:p w:rsidR="006F67ED" w:rsidRPr="0002059C" w:rsidRDefault="006E0462">
      <w:pPr>
        <w:pStyle w:val="ConsPlusNormal0"/>
        <w:jc w:val="right"/>
      </w:pPr>
      <w:r w:rsidRPr="0002059C">
        <w:t>Смоленской области</w:t>
      </w:r>
    </w:p>
    <w:p w:rsidR="006F67ED" w:rsidRPr="0002059C" w:rsidRDefault="006E0462">
      <w:pPr>
        <w:pStyle w:val="ConsPlusNormal0"/>
        <w:jc w:val="right"/>
      </w:pPr>
      <w:r w:rsidRPr="0002059C">
        <w:t>от 19.11.2013 N 920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</w:pPr>
      <w:bookmarkStart w:id="1" w:name="P54"/>
      <w:bookmarkEnd w:id="1"/>
      <w:r w:rsidRPr="0002059C">
        <w:t>ОБЛАСТНАЯ ГОСУДАРСТВЕННАЯ ПРОГРАММА</w:t>
      </w:r>
    </w:p>
    <w:p w:rsidR="006F67ED" w:rsidRPr="0002059C" w:rsidRDefault="006E0462">
      <w:pPr>
        <w:pStyle w:val="ConsPlusTitle0"/>
        <w:jc w:val="center"/>
      </w:pPr>
      <w:r w:rsidRPr="0002059C">
        <w:t>"СОЗДАНИЕ УСЛОВИЙ ДЛЯ ЭФФЕКТИВНОГО ГОСУДАРСТВЕННОГО</w:t>
      </w:r>
    </w:p>
    <w:p w:rsidR="006F67ED" w:rsidRPr="0002059C" w:rsidRDefault="006E0462">
      <w:pPr>
        <w:pStyle w:val="ConsPlusTitle0"/>
        <w:jc w:val="center"/>
      </w:pPr>
      <w:r w:rsidRPr="0002059C">
        <w:t>УПРАВЛЕНИЯ В СМОЛЕНСКОЙ ОБЛАСТИ"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  <w:outlineLvl w:val="1"/>
      </w:pPr>
      <w:r w:rsidRPr="0002059C">
        <w:t>Паспорт</w:t>
      </w:r>
    </w:p>
    <w:p w:rsidR="006F67ED" w:rsidRPr="0002059C" w:rsidRDefault="006E0462">
      <w:pPr>
        <w:pStyle w:val="ConsPlusTitle0"/>
        <w:jc w:val="center"/>
      </w:pPr>
      <w:r w:rsidRPr="0002059C">
        <w:t>Государственной программы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ind w:firstLine="540"/>
        <w:jc w:val="both"/>
      </w:pPr>
      <w:r w:rsidRPr="0002059C">
        <w:t xml:space="preserve">Утратил силу. - </w:t>
      </w:r>
      <w:r w:rsidRPr="0002059C">
        <w:t>Постановление</w:t>
      </w:r>
      <w:r w:rsidRPr="0002059C">
        <w:t xml:space="preserve"> Правительства Смоленской области от 28.02.2024 N 122.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  <w:outlineLvl w:val="1"/>
      </w:pPr>
      <w:r w:rsidRPr="0002059C">
        <w:t>1. Стратегические приоритеты в сфере реализации</w:t>
      </w:r>
    </w:p>
    <w:p w:rsidR="006F67ED" w:rsidRPr="0002059C" w:rsidRDefault="006E0462">
      <w:pPr>
        <w:pStyle w:val="ConsPlusTitle0"/>
        <w:jc w:val="center"/>
      </w:pPr>
      <w:r w:rsidRPr="0002059C">
        <w:t>Государственной программы</w:t>
      </w:r>
    </w:p>
    <w:p w:rsidR="006F67ED" w:rsidRPr="0002059C" w:rsidRDefault="006E0462">
      <w:pPr>
        <w:pStyle w:val="ConsPlusNormal0"/>
        <w:jc w:val="center"/>
      </w:pPr>
      <w:r w:rsidRPr="0002059C">
        <w:t xml:space="preserve">(в ред. </w:t>
      </w:r>
      <w:r w:rsidRPr="0002059C">
        <w:t>постановления</w:t>
      </w:r>
      <w:r w:rsidRPr="0002059C">
        <w:t xml:space="preserve"> Правительства Смоленской области</w:t>
      </w:r>
    </w:p>
    <w:p w:rsidR="006F67ED" w:rsidRPr="0002059C" w:rsidRDefault="006E0462">
      <w:pPr>
        <w:pStyle w:val="ConsPlusNormal0"/>
        <w:jc w:val="center"/>
      </w:pPr>
      <w:r w:rsidRPr="0002059C">
        <w:t>от 28.02.2024 N 122)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ind w:firstLine="540"/>
        <w:jc w:val="both"/>
      </w:pPr>
      <w:r w:rsidRPr="0002059C">
        <w:t>Эффективность государственного управления непосредственно связана с реализацией обозначенной цели, достижением заданных и на</w:t>
      </w:r>
      <w:r w:rsidRPr="0002059C">
        <w:t>илучших результатов с использованием утвержденного объема бюджетных средств.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Аппаратом Правительства Смоленской области (далее также - Аппарат) проводится работа по привлечению финансовых, материальных ресурсов, их эффективному использованию для организаци</w:t>
      </w:r>
      <w:r w:rsidRPr="0002059C">
        <w:t>и обеспечения деятельности Губернатора Смоленской области, Правительства Смоленской области по реализации ими полномочий в соответствии с федеральным и областным законодательством.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Задачи, связанные с обеспечением политических, социально-экономических, нау</w:t>
      </w:r>
      <w:r w:rsidRPr="0002059C">
        <w:t>чно-технических, культурных и иных интересов Смоленской области в федеральных органах государственной власти, российских, зарубежных и международных коммерческих и некоммерческих организациях, решает Представительство Правительства Смоленской области при П</w:t>
      </w:r>
      <w:r w:rsidRPr="0002059C">
        <w:t xml:space="preserve">равительстве Российской Федерации, в </w:t>
      </w:r>
      <w:r w:rsidRPr="0002059C">
        <w:lastRenderedPageBreak/>
        <w:t>функции которого входят: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принятие участия в работе федеральных органов исполнительной власти при рассмотрении вопросов, затрагивающих интересы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проведение работы по улучшению инвестиционного клима</w:t>
      </w:r>
      <w:r w:rsidRPr="0002059C">
        <w:t>та и привлечению инвесторов в экономику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содействие развитию внешнеэкономических и международных связей Смоленской области, привлечение в Смоленскую область передовых технологий, создание коммерческих организаций с иностранными инвести</w:t>
      </w:r>
      <w:r w:rsidRPr="0002059C">
        <w:t>циями, проведение рекламных и других мероприятий, обеспечивающих интерес потенциальных партнеров и инвесторов;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содействие исполнительным органам Смоленской области и представителям деловых кругов Смоленской области в установлении контактов с федеральными</w:t>
      </w:r>
      <w:r w:rsidRPr="0002059C">
        <w:t xml:space="preserve"> органами государственной власти и представителями деловых кругов других субъектов Российской Федерации;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содействие продвижению товаров (работ, услуг), производимых организациями, расположенными на территории Смоленской области, на рынок Российской Федер</w:t>
      </w:r>
      <w:r w:rsidRPr="0002059C">
        <w:t>ации и рынки иностранных государств;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 xml:space="preserve">- содействие в организации выставок промышленных и сельскохозяйственных организаций, действующих на территории Смоленской области, а также содействие участию организаций, действующих на территории Смоленской области, в </w:t>
      </w:r>
      <w:r w:rsidRPr="0002059C">
        <w:t>российских и международных выставках и ярмарках, проводимых в г. Москве;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содействие установлению деловых связей между организациями, действующими на территории Смоленской области, и иными российскими и зарубежными организациями.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На эффективность государс</w:t>
      </w:r>
      <w:r w:rsidRPr="0002059C">
        <w:t>твенного управления также оказывает влияние реализация полномочий по развитию государственной гражданской службы в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Профессиональное развитие государственных гражданских служащих осуществляется в течение всего периода прохождения ими гос</w:t>
      </w:r>
      <w:r w:rsidRPr="0002059C">
        <w:t>ударственной гражданской службы.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Реализация мероприятий по профессиональному развитию государственных гражданских служащих Смоленской области осуществляется посредством ежегодно утверждаемого нормативным правовым актом Правительства Смоленской области госу</w:t>
      </w:r>
      <w:r w:rsidRPr="0002059C">
        <w:t>дарственного заказа на мероприятия по профессиональному развитию государственных гражданских служащих Смоленской области в соответствии с законодательством Российской Федерации о контрактной системе в сфере закупок товаров, работ, услуг для обеспечения гос</w:t>
      </w:r>
      <w:r w:rsidRPr="0002059C">
        <w:t>ударственных и муниципальных нужд.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Мероприятия по профессиональному развитию государственных гражданских служащих осуществляются с отрывом или без отрыва от государственной гражданской службы.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Профессиональное развитие государственного гражданского служаще</w:t>
      </w:r>
      <w:r w:rsidRPr="0002059C">
        <w:t>го включает в себя дополнительное профессиональное образование и иные мероприятия по профессиональному развитию. Дополнительное профессиональное образование государственных гражданских служащих включает в себя профессиональную переподготовку и повышение кв</w:t>
      </w:r>
      <w:r w:rsidRPr="0002059C">
        <w:t>алификации. Дополнительное профессиональное образование государственных гражданских служащих осуществляется в организациях дополнительного профессионального образования.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Дополнительное профессиональное образование государственных гражданских служащих может</w:t>
      </w:r>
      <w:r w:rsidRPr="0002059C">
        <w:t xml:space="preserve"> осуществляться на основании образовательных сертификатов. Образовательный сертификат является именным документом, подтверждающим право государственного гражданского служащего на получение дополнительного профессионального образования (прохождение професси</w:t>
      </w:r>
      <w:r w:rsidRPr="0002059C">
        <w:t>ональной переподготовки или повышение квалификации) по дополнительной профессиональной программе, реализуемой организацией, осуществляющей образовательную деятельность и включенной в реестр исполнителей государственной услуги по реализации дополнительных п</w:t>
      </w:r>
      <w:r w:rsidRPr="0002059C">
        <w:t>рофессиональных программ для государственных гражданских служащих Российской Федерации на основании образовательных сертификатов (далее соответственно - образовательная организация, реестр образовательных организаций). Ведение реестра образовательных орган</w:t>
      </w:r>
      <w:r w:rsidRPr="0002059C">
        <w:t xml:space="preserve">изаций осуществляется путем включения образовательных организаций в реестр образовательных организаций и исключения из него, обновления при необходимости информации об образовательных </w:t>
      </w:r>
      <w:r w:rsidRPr="0002059C">
        <w:lastRenderedPageBreak/>
        <w:t>организациях, включенных в реестр образовательных организаций, и (или) д</w:t>
      </w:r>
      <w:r w:rsidRPr="0002059C">
        <w:t>ополнительных профессиональных программах, предлагаемых ими к реализации на основании образовательных сертификатов, обеспечения взаимодействия с образовательными организациями посредством сервисов информационной системы и государственных информационных сис</w:t>
      </w:r>
      <w:r w:rsidRPr="0002059C">
        <w:t>тем в области гражданской службы субъектов Российской Федерации.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Финансовое обеспечение обучения государственных гражданских служащих на основании образовательных сертификатов осуществляется путем предоставления образовательным организациям, включенным в реестр образовательных организаций и осуществившим обучение госуда</w:t>
      </w:r>
      <w:r w:rsidRPr="0002059C">
        <w:t>рственных гражданских служащих на основании образовательных сертификатов, грантов в форме субсидий из областного бюджета.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целях содействия развитию управления предприятиями для повышения их конкурентоспособности и эффективности разработана Программа подготовки управленческих кадров для организаций народного хозяйства Российской Федерации, которая реализуется в формате Госуд</w:t>
      </w:r>
      <w:r w:rsidRPr="0002059C">
        <w:t>арственного плана подготовки управленческих кадров для организаций народного хозяйства Российской Федерации (далее - Государственный план).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Подготовка специалистов в рамках Государственного плана осуществляется в форме обучения по дополнительным профессион</w:t>
      </w:r>
      <w:r w:rsidRPr="0002059C">
        <w:t>альным программам повышения квалификации (в том числе за рубежом) в образовательной организации, аккредитованной для участия в реализации Государственного плана (по программам типа "А" и "В" продолжительностью 550 часов).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Мероприятия Государственного плана</w:t>
      </w:r>
      <w:r w:rsidRPr="0002059C">
        <w:t xml:space="preserve"> финансируются за счет средств федерального и областного бюджетов в размере 66% от общей стоимости обучения, а также за счет средств рекомендующего предприятия - 34%.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целях межрегиональной интеграции и социально-экономического развития субъектов Российск</w:t>
      </w:r>
      <w:r w:rsidRPr="0002059C">
        <w:t>ой Федерации Смоленская область выступает одним из учредителей Ассоциации межрегионального социально-экономического взаимодействия "Центральный Федеральный Округ".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Ассоциация межрегионального социально-экономического взаимодействия "Центральный Федеральный</w:t>
      </w:r>
      <w:r w:rsidRPr="0002059C">
        <w:t xml:space="preserve"> Округ" обеспечивает взаимодействие с субъектами Российской Федерации в вопросах социально-экономического развития на основе объединения материальных, финансовых, интеллектуальных ресурсов, стабилизации экономического положения в регионе, создание базы для</w:t>
      </w:r>
      <w:r w:rsidRPr="0002059C">
        <w:t xml:space="preserve"> повышения уровня жизни населения, необходимые условия для роста инвестиций, развитие туристического потенциала территорий.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Смоленской области реализуется государственная политика в сфере обеспечения граждан бесплатной квалифицированной юридической помощ</w:t>
      </w:r>
      <w:r w:rsidRPr="0002059C">
        <w:t>ью в целях обеспечения прав отдельных категорий граждан на получение квалифицированной юридической помощи.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Аппаратом проводится работа по организации награждения наградами Смоленской области и присвоению почетных званий Смоленской области гражданам Российс</w:t>
      </w:r>
      <w:r w:rsidRPr="0002059C">
        <w:t>кой Федерации, постоянно проживающим на территории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Среди государственных гражданских служащих Смоленской области проводятся мероприятия по профилактике коррупционных и иных правонарушений, планомерная и целенаправленная работа по предуп</w:t>
      </w:r>
      <w:r w:rsidRPr="0002059C">
        <w:t>реждению (профилактике) коррупционных правонарушений среди лиц, замещающих государственные должности Смоленской области в Правительстве Смоленской области, а также лиц, замещающих должности государственной гражданской службы Смоленской области в исполнител</w:t>
      </w:r>
      <w:r w:rsidRPr="0002059C">
        <w:t>ьных органах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Коррупция - сложное и комплексное общественное явление, поэтому требуются формирование специфических принципов правового регулирования, применение комплексного подхода и сочетание различных средств - юридических, экономичес</w:t>
      </w:r>
      <w:r w:rsidRPr="0002059C">
        <w:t>ких, организационных, воспитательных.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соответствии с федеральным законодательством на территории Смоленской области создана необходимая нормативная правовая база по противодействию коррупции.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Исполнительные органы Смоленской области осуществляют реализац</w:t>
      </w:r>
      <w:r w:rsidRPr="0002059C">
        <w:t xml:space="preserve">ию комплекса мероприятий, направленных на профилактику коррупционных правонарушений среди государственных гражданских </w:t>
      </w:r>
      <w:r w:rsidRPr="0002059C">
        <w:lastRenderedPageBreak/>
        <w:t>служащих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Проводится работа по приему и анализу сведений о доходах, расходах, об имуществе и обязательствах имущественн</w:t>
      </w:r>
      <w:r w:rsidRPr="0002059C">
        <w:t>ого характера, представляемых государственными гражданскими служащими Смоленской области, а также лицами, претендующими на замещение должностей государственной гражданской службы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Во всех исполнительных органах Смоленской области созданы</w:t>
      </w:r>
      <w:r w:rsidRPr="0002059C">
        <w:t xml:space="preserve"> и функционируют комиссии по соблюдению требований к служебному поведению и урегулированию конфликта интересов, а также назначены лица, ответственные за работу по профилактике коррупционных и иных правонарушений.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 xml:space="preserve">Во исполнение </w:t>
      </w:r>
      <w:r w:rsidRPr="0002059C">
        <w:t>Указа</w:t>
      </w:r>
      <w:r w:rsidRPr="0002059C"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 w:rsidRPr="0002059C">
        <w:t xml:space="preserve"> созданы: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Комиссия при Правительстве Смоленской области по соблюдению требований к служебному поведению и урегулированию конфликтов интересов;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- 31 комиссия по соблюдению требований к служебному поведению государственных гражданских служащих Смоленской о</w:t>
      </w:r>
      <w:r w:rsidRPr="0002059C">
        <w:t>бласти и урегулированию конфликтов интересов в исполнительных органах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 xml:space="preserve">- комиссии по соблюдению требований к служебному поведению государственных гражданских служащих Смоленской области и урегулированию конфликтов интересов в Смоленской </w:t>
      </w:r>
      <w:r w:rsidRPr="0002059C">
        <w:t>областной Думе, в избирательной комиссии Смоленской области, в аппарате Уполномоченного по правам человека в Смоленской области, в аппарате Уполномоченного по защите прав предпринимателей в Смоленской области, в Контрольно-счетной палате Смоленской области</w:t>
      </w:r>
      <w:r w:rsidRPr="0002059C">
        <w:t>, Службе по обеспечению деятельности мировых судей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муниципальных образований Смоле</w:t>
      </w:r>
      <w:r w:rsidRPr="0002059C">
        <w:t>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На постоянной основе проводятся заседания Комиссии по координации работы по противодействию коррупции в Смоленской области.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Департаменте по профилактике коррупционных правонарушений Аппарата Правительства Смоленской области функционирует т</w:t>
      </w:r>
      <w:r w:rsidRPr="0002059C">
        <w:t>елефон доверия Правительства Смоленской области для получения информации о проявлениях коррупции в исполнительных органах Смоленской области и органах местного самоуправления муниципальных образований Смоленской области (далее - телефон доверия) - канал св</w:t>
      </w:r>
      <w:r w:rsidRPr="0002059C">
        <w:t>язи с физическими и юридическими лицами, позволяющий получать от заявителей информацию о фактах коррупционных проявлений в исполнительных органах Смоленской области и органах местного самоуправления муниципальных образований Смоленской области, а также о ф</w:t>
      </w:r>
      <w:r w:rsidRPr="0002059C">
        <w:t>актах "бытовой" коррупции с целью оперативного реагирования на данные коррупционные проявления, обеспечения защиты прав и законных интересов граждан.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Телефон доверия создан в целях: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вовлечения населения в реализацию антикоррупционной политики на территор</w:t>
      </w:r>
      <w:r w:rsidRPr="0002059C">
        <w:t>ии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выявления фактов коррупционных проявлений в исполнительных органах Смоленской области и органах местного самоуправления муниципальных образований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принятия мер, направленных на эффективное противодействие корру</w:t>
      </w:r>
      <w:r w:rsidRPr="0002059C">
        <w:t>пции и предупреждение коррупционных проявлений в исполнительных органах Смоленской области и органах местного самоуправления муниципальных образований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формирования у населения нетерпимости к коррупционным проявлениям.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На улучшение и п</w:t>
      </w:r>
      <w:r w:rsidRPr="0002059C">
        <w:t xml:space="preserve">овышение эффективности деятельности органов государственной власти оказывает влияние материально-техническое и транспортное обеспечение деятельности законодательного органа </w:t>
      </w:r>
      <w:r w:rsidRPr="0002059C">
        <w:lastRenderedPageBreak/>
        <w:t>государственной власти Смоленской области, исполнительных органов Смоленской област</w:t>
      </w:r>
      <w:r w:rsidRPr="0002059C">
        <w:t>и и иных органов государственной власти, которое осуществляют Областное государственное бюджетное автотранспортное учреждение Правительства Смоленской области (далее - ОГБАУ) и областное государственное бюджетное учреждение "Хозяйственное управление Правит</w:t>
      </w:r>
      <w:r w:rsidRPr="0002059C">
        <w:t>ельства Смоленской области" (далее - ОГБУ).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Предоставление автотранспортных услуг оказывает влияние на улучшение и повышение эффективности деятельности органов государственной власти.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Функцией ОГБАУ является обеспечение высококвалифицированной производстве</w:t>
      </w:r>
      <w:r w:rsidRPr="0002059C">
        <w:t>нно-хозяйственной деятельности, внедрение прогрессивных технологий эксплуатации, технического обслуживания и ремонта транспортных средств, развитие собственной производственно-технической базы.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ОГБАУ ведется постоянная работа по подготовке, переподготовке и повышению квалификации водительского состава, повышению классности водителей, а также работников ремонтной мастерской.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ОГБУ осуществляет обеспечение эксплуатационно-технического обслуживания</w:t>
      </w:r>
      <w:r w:rsidRPr="0002059C">
        <w:t xml:space="preserve"> объектов и помещений, а также содержание указанных объектов и помещений, оборудования и прилегающей территории в надлежащем состоянии. Большая часть эксплуатируемых площадей имеет износ более 50 процентов.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В связи с тем, что здания, в которых ОГБУ обслужи</w:t>
      </w:r>
      <w:r w:rsidRPr="0002059C">
        <w:t>вает площади, имеют большой износ, необходимо систематически проводить мероприятия, связанные с текущим ремонтом и обновлением материально-технической базы.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Для материально-технического и транспортного обеспечения деятельности законодательного органа госуд</w:t>
      </w:r>
      <w:r w:rsidRPr="0002059C">
        <w:t>арственной власти Смоленской области, исполнительных органов Смоленской области и иных органов государственной власти на постоянной основе проводятся: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текущий ремонт площадей, обслуживаемых ОГБУ;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текущий ремонт вышедшего из строя имущества, находящегос</w:t>
      </w:r>
      <w:r w:rsidRPr="0002059C">
        <w:t>я в пользовании ОГБАУ и ОГБУ, исполнительных органов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текущий ремонт и техническое обслуживание автотранспорта, находящегося в оперативном управлении ОГБАУ;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 xml:space="preserve">- ежегодные технические регламентные испытания и обслуживание всех инженерных </w:t>
      </w:r>
      <w:r w:rsidRPr="0002059C">
        <w:t>систем;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обновление автопарка ОГБАУ;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работы по благоустройству прилегающих территорий зданий;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мероприятия по организации сохранности имущества, предоставленного членам Правительства Смоленской области, в том числе направленные на совершенствование про</w:t>
      </w:r>
      <w:r w:rsidRPr="0002059C">
        <w:t>пускного режима на объектах размещения Правительства Смоленской области, иных органов государственной власти Смоленской области;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- повышение квалификации технического персонала.</w:t>
      </w:r>
    </w:p>
    <w:p w:rsidR="006F67ED" w:rsidRPr="0002059C" w:rsidRDefault="006E0462">
      <w:pPr>
        <w:pStyle w:val="ConsPlusNormal0"/>
        <w:spacing w:before="200"/>
        <w:ind w:firstLine="540"/>
        <w:jc w:val="both"/>
      </w:pPr>
      <w:r w:rsidRPr="0002059C">
        <w:t>Для обеспечения социально-экономического развития Смоленской области необходим</w:t>
      </w:r>
      <w:r w:rsidRPr="0002059C">
        <w:t>о создавать условия для повышения эффективности деятельности органов государственной власти Смоленской области, их нацеленности на внедрение инновационных подходов к управлению.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  <w:outlineLvl w:val="1"/>
      </w:pPr>
      <w:r w:rsidRPr="0002059C">
        <w:t>2. Сведения о ведомственных проектах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ind w:firstLine="540"/>
        <w:jc w:val="both"/>
      </w:pPr>
      <w:r w:rsidRPr="0002059C">
        <w:t xml:space="preserve">Утратил силу. - </w:t>
      </w:r>
      <w:r w:rsidRPr="0002059C">
        <w:t>Постановление</w:t>
      </w:r>
      <w:r w:rsidRPr="0002059C">
        <w:t xml:space="preserve"> Правительства Смоленской области от 28.02.2024 N 122.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  <w:outlineLvl w:val="1"/>
      </w:pPr>
      <w:r w:rsidRPr="0002059C">
        <w:t>3. Паспорта комплексов процессных мероприятий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Normal0"/>
        <w:ind w:firstLine="540"/>
        <w:jc w:val="both"/>
      </w:pPr>
      <w:r w:rsidRPr="0002059C">
        <w:t xml:space="preserve">Утратил силу. - </w:t>
      </w:r>
      <w:r w:rsidRPr="0002059C">
        <w:t>Постановление</w:t>
      </w:r>
      <w:r w:rsidRPr="0002059C">
        <w:t xml:space="preserve"> Правительства Смоленской области от 28.02.2024 N 122.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E0462">
      <w:pPr>
        <w:pStyle w:val="ConsPlusTitle0"/>
        <w:jc w:val="center"/>
        <w:outlineLvl w:val="1"/>
      </w:pPr>
      <w:r w:rsidRPr="0002059C">
        <w:lastRenderedPageBreak/>
        <w:t>4. Сведения о финансировании структурных элементов областной</w:t>
      </w:r>
    </w:p>
    <w:p w:rsidR="006F67ED" w:rsidRPr="0002059C" w:rsidRDefault="006E0462">
      <w:pPr>
        <w:pStyle w:val="ConsPlusTitle0"/>
        <w:jc w:val="center"/>
      </w:pPr>
      <w:r w:rsidRPr="0002059C">
        <w:t>государственной программы "Создание условий для эффе</w:t>
      </w:r>
      <w:r w:rsidRPr="0002059C">
        <w:t>ктивного</w:t>
      </w:r>
    </w:p>
    <w:p w:rsidR="006F67ED" w:rsidRPr="0002059C" w:rsidRDefault="006E0462">
      <w:pPr>
        <w:pStyle w:val="ConsPlusTitle0"/>
        <w:jc w:val="center"/>
      </w:pPr>
      <w:r w:rsidRPr="0002059C">
        <w:t>государственного управления в Смоленской области"</w:t>
      </w:r>
    </w:p>
    <w:p w:rsidR="006F67ED" w:rsidRPr="0002059C" w:rsidRDefault="006E0462">
      <w:pPr>
        <w:pStyle w:val="ConsPlusNormal0"/>
        <w:jc w:val="center"/>
      </w:pPr>
      <w:r w:rsidRPr="0002059C">
        <w:t xml:space="preserve">(в ред. </w:t>
      </w:r>
      <w:r w:rsidRPr="0002059C">
        <w:t>постановления</w:t>
      </w:r>
      <w:r w:rsidRPr="0002059C">
        <w:t xml:space="preserve"> Правительства Смоленской области</w:t>
      </w:r>
    </w:p>
    <w:p w:rsidR="006F67ED" w:rsidRPr="0002059C" w:rsidRDefault="006E0462">
      <w:pPr>
        <w:pStyle w:val="ConsPlusNormal0"/>
        <w:jc w:val="center"/>
      </w:pPr>
      <w:r w:rsidRPr="0002059C">
        <w:t>от 28.02.2024 N 122)</w:t>
      </w: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sectPr w:rsidR="006F67ED" w:rsidRPr="0002059C"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254"/>
        <w:gridCol w:w="2089"/>
        <w:gridCol w:w="1474"/>
        <w:gridCol w:w="1264"/>
        <w:gridCol w:w="1264"/>
        <w:gridCol w:w="1144"/>
        <w:gridCol w:w="1144"/>
      </w:tblGrid>
      <w:tr w:rsidR="0002059C" w:rsidRPr="0002059C">
        <w:tc>
          <w:tcPr>
            <w:tcW w:w="484" w:type="dxa"/>
            <w:vMerge w:val="restart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lastRenderedPageBreak/>
              <w:t>N п/п</w:t>
            </w:r>
          </w:p>
        </w:tc>
        <w:tc>
          <w:tcPr>
            <w:tcW w:w="2254" w:type="dxa"/>
            <w:vMerge w:val="restart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Наименование</w:t>
            </w:r>
          </w:p>
        </w:tc>
        <w:tc>
          <w:tcPr>
            <w:tcW w:w="2089" w:type="dxa"/>
            <w:vMerge w:val="restart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Участник Государственной программы</w:t>
            </w:r>
          </w:p>
        </w:tc>
        <w:tc>
          <w:tcPr>
            <w:tcW w:w="1474" w:type="dxa"/>
            <w:vMerge w:val="restart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Источник финансового обеспечения</w:t>
            </w:r>
          </w:p>
        </w:tc>
        <w:tc>
          <w:tcPr>
            <w:tcW w:w="4816" w:type="dxa"/>
            <w:gridSpan w:val="4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02059C" w:rsidRPr="0002059C">
        <w:tc>
          <w:tcPr>
            <w:tcW w:w="48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089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всего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2024 год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2025 год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2026 год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4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1. Ведомственный проект "Укрепление материально-технической базы областных государственных учреждений"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</w:t>
            </w:r>
          </w:p>
          <w:p w:rsidR="006F67ED" w:rsidRPr="0002059C" w:rsidRDefault="006E0462">
            <w:pPr>
              <w:pStyle w:val="ConsPlusNormal0"/>
              <w:jc w:val="center"/>
            </w:pPr>
            <w:r w:rsidRPr="0002059C">
              <w:t>от 18.07.2024 N 537)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1.1.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Приобретение автомобильного транспорта для обеспечения деятельности исполнительных органов Смоленской области, а также других органов и организаций, финансируемых за счет бюджетных ассигнований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ОГБАУ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96573,40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76700,00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9936,7</w:t>
            </w:r>
            <w:r w:rsidRPr="0002059C">
              <w:t>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9936,70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1.2.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Приобретение и монтаж некапитальных строений, сооружений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ОГБАУ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16392,00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16392,00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1.3.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Благоустройство территорий областных государственных учреждений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ОГБАУ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15801,82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15801,82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1.4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Строительство ливневой </w:t>
            </w:r>
            <w:r w:rsidRPr="0002059C">
              <w:lastRenderedPageBreak/>
              <w:t>канализации для отвода дождевых стоков на земельном участке с кадастровым номером 67:27:0030737:5 по адресу: г. Смоленск, п. Тихвинка, д. 34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Аппарат, ОГБАУ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1350,07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1350,07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</w:tr>
      <w:tr w:rsidR="0002059C" w:rsidRPr="0002059C">
        <w:tc>
          <w:tcPr>
            <w:tcW w:w="2738" w:type="dxa"/>
            <w:gridSpan w:val="2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Итого по ведомстве</w:t>
            </w:r>
            <w:r w:rsidRPr="0002059C">
              <w:t>нному проекту</w:t>
            </w:r>
          </w:p>
        </w:tc>
        <w:tc>
          <w:tcPr>
            <w:tcW w:w="2089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130117,29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110243,89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9936,70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9936,70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2. Ведомственный проект "Изменение архитектурно-планировочных характеристик зданий согласно требованиям действующих норм"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Проведение реконструкции нежилых помещений с повышенным уровнем комфортности, расположенных по адресу: г. Смоленск, ул. Шевченко, д. 87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ОГБУ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66546,80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53625,00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6460,90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6460,90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Итого </w:t>
            </w:r>
            <w:r w:rsidRPr="0002059C">
              <w:t>по ведомственному проекту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66546,80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53625,00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6460,90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6460,90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3. Комплекс процессных мероприятий "</w:t>
            </w:r>
            <w:r w:rsidRPr="0002059C">
              <w:t>Осуществление мер по обеспечению комплексного социально-экономического развития Смоленской области"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3.1.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Осуществление профессионального развития государственных гражданских служащих Смоленской области (дополнительное </w:t>
            </w:r>
            <w:r w:rsidRPr="0002059C">
              <w:lastRenderedPageBreak/>
              <w:t>профессиональное образование)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Аппарат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2810,30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1915,80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439,00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455,50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c>
          <w:tcPr>
            <w:tcW w:w="484" w:type="dxa"/>
            <w:vMerge w:val="restart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3.2.</w:t>
            </w:r>
          </w:p>
        </w:tc>
        <w:tc>
          <w:tcPr>
            <w:tcW w:w="2254" w:type="dxa"/>
            <w:vMerge w:val="restart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2089" w:type="dxa"/>
            <w:vMerge w:val="restart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1871,10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623,70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623,70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623,70</w:t>
            </w:r>
          </w:p>
        </w:tc>
      </w:tr>
      <w:tr w:rsidR="0002059C" w:rsidRPr="0002059C">
        <w:tc>
          <w:tcPr>
            <w:tcW w:w="48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089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872,70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300,60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294,30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277,80</w:t>
            </w:r>
          </w:p>
        </w:tc>
      </w:tr>
      <w:tr w:rsidR="0002059C" w:rsidRPr="0002059C">
        <w:tc>
          <w:tcPr>
            <w:tcW w:w="48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089" w:type="dxa"/>
            <w:vMerge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федеральный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998,40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323,10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329,40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345,90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3.3.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уплаты членских взносов некоммерческим организациям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2619,00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873,00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873,00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873,00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3.4.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801,00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267,00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267,00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267,00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3.5.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Осуществление выплаты единовременн</w:t>
            </w:r>
            <w:r w:rsidRPr="0002059C">
              <w:t>ого денежного вознаграждения гражданам, награжденным наградами и почетными званиями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5385,00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1935,00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1725,00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1725,00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3.6.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Изготовление наград Смоленской области и удостоверений к ним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340,00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100,00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120,00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120,00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3.7.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Проведение ежегодного социологического исследования на основании методики, утвержденной Правительством Российской Федерации, в целях оценки уровня коррупции в Смоленской области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375,00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125,00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125,00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125,00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3.8.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Проведение ежегодного областного конкурса творческих работ на антикоррупционную тематику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108,00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36,00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36,00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36,00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3.9.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реализации государственных функций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29166,90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9722,30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9722,30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9722,30</w:t>
            </w:r>
          </w:p>
        </w:tc>
      </w:tr>
      <w:tr w:rsidR="0002059C" w:rsidRPr="0002059C">
        <w:tc>
          <w:tcPr>
            <w:tcW w:w="2738" w:type="dxa"/>
            <w:gridSpan w:val="2"/>
            <w:vMerge w:val="restart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Итого по комплексу процессных мероприятий</w:t>
            </w:r>
          </w:p>
        </w:tc>
        <w:tc>
          <w:tcPr>
            <w:tcW w:w="2089" w:type="dxa"/>
            <w:vMerge w:val="restart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43476,30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15597,80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13931,00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13947,50</w:t>
            </w:r>
          </w:p>
        </w:tc>
      </w:tr>
      <w:tr w:rsidR="0002059C" w:rsidRPr="0002059C">
        <w:tc>
          <w:tcPr>
            <w:tcW w:w="2738" w:type="dxa"/>
            <w:gridSpan w:val="2"/>
            <w:vMerge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089" w:type="dxa"/>
            <w:vMerge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42477,90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15274,70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13601,60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13601,60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vMerge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089" w:type="dxa"/>
            <w:vMerge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федеральный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998,40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323,10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329,40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345,90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4. Комплекс процессных мероприятий "Транспортное обеспечение деятельности органов государственной власти"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4.1.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деятельности областных государственных учреждений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ОГБАУ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679512,90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230129,30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224691,80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224691,80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4.2.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Текущие и </w:t>
            </w:r>
            <w:r w:rsidRPr="0002059C">
              <w:lastRenderedPageBreak/>
              <w:t>капитальные ремонты зданий и сооружений областных государственных учреждений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Аппарат, ОГБАУ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областной </w:t>
            </w:r>
            <w:r w:rsidRPr="0002059C">
              <w:lastRenderedPageBreak/>
              <w:t>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lastRenderedPageBreak/>
              <w:t>3827,20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2500,00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663,60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663,60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Итого по комплексу процессных мероприятий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683340,10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232629,30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225355,40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225355,40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5. Комплекс процессных мероприятий "Обеспечение деятельности органов государственной власти Смоленской области"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5.1.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деятельности областных государственных учреждений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ОГБУ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872365,13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321564,33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275400,40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275400,40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5.2.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Текущие и капитальные ремонты зданий и сооружений областных государствен</w:t>
            </w:r>
            <w:r w:rsidRPr="0002059C">
              <w:t>ных учреждений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ОГБУ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182068,78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166839,78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7614,50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7614,50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5.3.</w:t>
            </w: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реализации государственных функций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ОГБУ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5701,80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1900,60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1900,60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1900,60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5.4.</w:t>
            </w: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Материально-техническое обеспечение зданий, сооружений, </w:t>
            </w:r>
            <w:r w:rsidRPr="0002059C">
              <w:lastRenderedPageBreak/>
              <w:t>помещений, находящихся в оперативном управлении учреждений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>Аппарат, ОГБУ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11567,00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11567,00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0,00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 xml:space="preserve">(п. 5.4 введен </w:t>
            </w:r>
            <w:r w:rsidRPr="0002059C">
              <w:t>постановлением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Итого по комплексу процессных мероприятий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1071702,71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501871,71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284915,50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284915,50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6. Комплекс процессных мероприятий "Обеспечение политических, социально-экономических, культурных и иных интересов Смоленской области в федеральных органах государственной власти, российских, зарубежных и международных коммерческих и некоммерческих организ</w:t>
            </w:r>
            <w:r w:rsidRPr="0002059C">
              <w:t>ациях"</w:t>
            </w:r>
          </w:p>
        </w:tc>
      </w:tr>
      <w:tr w:rsidR="0002059C" w:rsidRPr="0002059C">
        <w:tc>
          <w:tcPr>
            <w:tcW w:w="484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деятельности государственных органов</w:t>
            </w:r>
          </w:p>
        </w:tc>
        <w:tc>
          <w:tcPr>
            <w:tcW w:w="2089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Аппарат, Представительство Правительства Смоленской области при Правительстве Российской Федерации</w:t>
            </w: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198145,68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</w:tr>
      <w:tr w:rsidR="0002059C" w:rsidRPr="0002059C">
        <w:tc>
          <w:tcPr>
            <w:tcW w:w="2738" w:type="dxa"/>
            <w:gridSpan w:val="2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Итого по комплексу процессных мероприятий</w:t>
            </w:r>
          </w:p>
        </w:tc>
        <w:tc>
          <w:tcPr>
            <w:tcW w:w="2089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198145,68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66048,56</w:t>
            </w:r>
          </w:p>
        </w:tc>
      </w:tr>
      <w:tr w:rsidR="0002059C" w:rsidRPr="0002059C">
        <w:tc>
          <w:tcPr>
            <w:tcW w:w="11117" w:type="dxa"/>
            <w:gridSpan w:val="8"/>
          </w:tcPr>
          <w:p w:rsidR="006F67ED" w:rsidRPr="0002059C" w:rsidRDefault="006E0462">
            <w:pPr>
              <w:pStyle w:val="ConsPlusNormal0"/>
              <w:jc w:val="center"/>
              <w:outlineLvl w:val="2"/>
            </w:pPr>
            <w:r w:rsidRPr="0002059C">
              <w:t>7. Комплекс процессных мероприятий "Обеспечение деятельности исполнительных органов"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484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225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Обеспечение деятельности государственных органов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Аппарат</w:t>
            </w: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775963,86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261102,02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257430,92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257430,92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Итого по комплексу процессных мероприятий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775963,86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261102,02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257430,92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257430,92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</w:t>
            </w:r>
            <w:r w:rsidRPr="0002059C">
              <w:t>постановления</w:t>
            </w:r>
            <w:r w:rsidRPr="0002059C">
              <w:t xml:space="preserve"> Правительства Смоленской области от 21.05.2024 N 341)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Всего по Государственной </w:t>
            </w:r>
            <w:r w:rsidRPr="0002059C">
              <w:lastRenderedPageBreak/>
              <w:t>программе, из них: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2969292,74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1241118,28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864078,98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864095,48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lastRenderedPageBreak/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2738" w:type="dxa"/>
            <w:gridSpan w:val="2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областной бюджет</w:t>
            </w:r>
          </w:p>
        </w:tc>
        <w:tc>
          <w:tcPr>
            <w:tcW w:w="2089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  <w:tcBorders>
              <w:bottom w:val="nil"/>
            </w:tcBorders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2968294,34</w:t>
            </w:r>
          </w:p>
        </w:tc>
        <w:tc>
          <w:tcPr>
            <w:tcW w:w="126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1240795,18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863749,58</w:t>
            </w:r>
          </w:p>
        </w:tc>
        <w:tc>
          <w:tcPr>
            <w:tcW w:w="1144" w:type="dxa"/>
            <w:tcBorders>
              <w:bottom w:val="nil"/>
            </w:tcBorders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863749,58</w:t>
            </w:r>
          </w:p>
        </w:tc>
      </w:tr>
      <w:tr w:rsidR="0002059C" w:rsidRPr="0002059C">
        <w:tblPrEx>
          <w:tblBorders>
            <w:insideH w:val="nil"/>
          </w:tblBorders>
        </w:tblPrEx>
        <w:tc>
          <w:tcPr>
            <w:tcW w:w="11117" w:type="dxa"/>
            <w:gridSpan w:val="8"/>
            <w:tcBorders>
              <w:top w:val="nil"/>
            </w:tcBorders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(в ред. постановлений Правительства Смоленской области от 21.05.2024 </w:t>
            </w:r>
            <w:r w:rsidRPr="0002059C">
              <w:t>N 341</w:t>
            </w:r>
            <w:r w:rsidRPr="0002059C">
              <w:t>,</w:t>
            </w:r>
          </w:p>
          <w:p w:rsidR="006F67ED" w:rsidRPr="0002059C" w:rsidRDefault="006E0462">
            <w:pPr>
              <w:pStyle w:val="ConsPlusNormal0"/>
              <w:jc w:val="both"/>
            </w:pPr>
            <w:r w:rsidRPr="0002059C">
              <w:t xml:space="preserve">от 18.07.2024 </w:t>
            </w:r>
            <w:r w:rsidRPr="0002059C">
              <w:t>N 537</w:t>
            </w:r>
            <w:r w:rsidRPr="0002059C">
              <w:t>)</w:t>
            </w:r>
          </w:p>
        </w:tc>
      </w:tr>
      <w:tr w:rsidR="0002059C" w:rsidRPr="0002059C">
        <w:tc>
          <w:tcPr>
            <w:tcW w:w="2738" w:type="dxa"/>
            <w:gridSpan w:val="2"/>
          </w:tcPr>
          <w:p w:rsidR="006F67ED" w:rsidRPr="0002059C" w:rsidRDefault="006E0462">
            <w:pPr>
              <w:pStyle w:val="ConsPlusNormal0"/>
              <w:jc w:val="both"/>
            </w:pPr>
            <w:r w:rsidRPr="0002059C">
              <w:t>федеральный бюджет</w:t>
            </w:r>
          </w:p>
        </w:tc>
        <w:tc>
          <w:tcPr>
            <w:tcW w:w="2089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474" w:type="dxa"/>
          </w:tcPr>
          <w:p w:rsidR="006F67ED" w:rsidRPr="0002059C" w:rsidRDefault="006F67ED">
            <w:pPr>
              <w:pStyle w:val="ConsPlusNormal0"/>
            </w:pP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998,40</w:t>
            </w:r>
          </w:p>
        </w:tc>
        <w:tc>
          <w:tcPr>
            <w:tcW w:w="126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323,10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329,40</w:t>
            </w:r>
          </w:p>
        </w:tc>
        <w:tc>
          <w:tcPr>
            <w:tcW w:w="1144" w:type="dxa"/>
          </w:tcPr>
          <w:p w:rsidR="006F67ED" w:rsidRPr="0002059C" w:rsidRDefault="006E0462">
            <w:pPr>
              <w:pStyle w:val="ConsPlusNormal0"/>
              <w:jc w:val="center"/>
            </w:pPr>
            <w:r w:rsidRPr="0002059C">
              <w:t>345,90</w:t>
            </w:r>
          </w:p>
        </w:tc>
      </w:tr>
    </w:tbl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jc w:val="both"/>
      </w:pPr>
    </w:p>
    <w:p w:rsidR="006F67ED" w:rsidRPr="0002059C" w:rsidRDefault="006F67E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F67ED" w:rsidRPr="0002059C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62" w:rsidRDefault="006E0462">
      <w:r>
        <w:separator/>
      </w:r>
    </w:p>
  </w:endnote>
  <w:endnote w:type="continuationSeparator" w:id="0">
    <w:p w:rsidR="006E0462" w:rsidRDefault="006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D" w:rsidRDefault="006F67ED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D" w:rsidRDefault="006F67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F67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6F67ED" w:rsidRDefault="006E046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F67ED" w:rsidRDefault="006E046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F67ED" w:rsidRDefault="006E046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02059C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02059C">
            <w:rPr>
              <w:rFonts w:ascii="Tahoma" w:hAnsi="Tahoma" w:cs="Tahoma"/>
              <w:noProof/>
            </w:rPr>
            <w:t>13</w:t>
          </w:r>
          <w:r>
            <w:fldChar w:fldCharType="end"/>
          </w:r>
        </w:p>
      </w:tc>
    </w:tr>
  </w:tbl>
  <w:p w:rsidR="006F67ED" w:rsidRDefault="006E046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62" w:rsidRDefault="006E0462">
      <w:r>
        <w:separator/>
      </w:r>
    </w:p>
  </w:footnote>
  <w:footnote w:type="continuationSeparator" w:id="0">
    <w:p w:rsidR="006E0462" w:rsidRDefault="006E0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D" w:rsidRPr="0002059C" w:rsidRDefault="006F67ED" w:rsidP="000205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ED" w:rsidRDefault="006F67E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67ED"/>
    <w:rsid w:val="0002059C"/>
    <w:rsid w:val="006E0462"/>
    <w:rsid w:val="006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0205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5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205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059C"/>
  </w:style>
  <w:style w:type="paragraph" w:styleId="a7">
    <w:name w:val="footer"/>
    <w:basedOn w:val="a"/>
    <w:link w:val="a8"/>
    <w:uiPriority w:val="99"/>
    <w:unhideWhenUsed/>
    <w:rsid w:val="000205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05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3653</Words>
  <Characters>20828</Characters>
  <Application>Microsoft Office Word</Application>
  <DocSecurity>0</DocSecurity>
  <Lines>173</Lines>
  <Paragraphs>48</Paragraphs>
  <ScaleCrop>false</ScaleCrop>
  <Company>КонсультантПлюс Версия 4024.00.01</Company>
  <LinksUpToDate>false</LinksUpToDate>
  <CharactersWithSpaces>24433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Смоленской области от 19.11.2013 N 920
(ред. от 18.07.2024)
"Об утверждении областной государственной программы "Создание условий для эффективного государственного управления в Смоленской области"</dc:title>
  <cp:lastModifiedBy>Тимофеев Александр Сергеевич</cp:lastModifiedBy>
  <cp:revision>3</cp:revision>
  <dcterms:created xsi:type="dcterms:W3CDTF">2024-08-12T12:17:00Z</dcterms:created>
  <dcterms:modified xsi:type="dcterms:W3CDTF">2024-08-12T12:20:00Z</dcterms:modified>
</cp:coreProperties>
</file>